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B5" w:rsidRDefault="00217FB5" w:rsidP="00217FB5">
      <w:pPr>
        <w:widowControl/>
        <w:tabs>
          <w:tab w:val="left" w:pos="1620"/>
        </w:tabs>
        <w:ind w:right="450"/>
        <w:outlineLvl w:val="0"/>
        <w:rPr>
          <w:rFonts w:ascii="Times New Roman" w:hAnsi="Times New Roman"/>
          <w:b/>
          <w:szCs w:val="24"/>
          <w:u w:val="single"/>
        </w:rPr>
      </w:pPr>
      <w:r w:rsidRPr="00333401">
        <w:rPr>
          <w:rFonts w:ascii="Times New Roman" w:hAnsi="Times New Roman"/>
          <w:b/>
          <w:szCs w:val="24"/>
          <w:u w:val="single"/>
        </w:rPr>
        <w:t>LITERATURE</w:t>
      </w:r>
    </w:p>
    <w:p w:rsidR="00B260B8" w:rsidRPr="00333401" w:rsidRDefault="00B260B8" w:rsidP="00217FB5">
      <w:pPr>
        <w:widowControl/>
        <w:tabs>
          <w:tab w:val="left" w:pos="1620"/>
        </w:tabs>
        <w:ind w:right="450"/>
        <w:outlineLvl w:val="0"/>
        <w:rPr>
          <w:rFonts w:ascii="Times New Roman" w:hAnsi="Times New Roman"/>
          <w:b/>
          <w:szCs w:val="24"/>
          <w:u w:val="single"/>
        </w:rPr>
      </w:pPr>
    </w:p>
    <w:p w:rsidR="00217FB5" w:rsidRDefault="00B260B8" w:rsidP="00217FB5">
      <w:pPr>
        <w:rPr>
          <w:rFonts w:ascii="Times New Roman" w:hAnsi="Times New Roman"/>
          <w:sz w:val="22"/>
          <w:szCs w:val="22"/>
        </w:rPr>
      </w:pPr>
      <w:r>
        <w:rPr>
          <w:rFonts w:ascii="Times New Roman" w:hAnsi="Times New Roman"/>
          <w:sz w:val="22"/>
          <w:szCs w:val="22"/>
        </w:rPr>
        <w:t>VCE Literature provides opportunities for students to develop their awareness of other people, places and cultures and explore the way texts represent the complexity of human experience.  Students examine the evolving and dialogic nature of texts, the changing contexts in which they were produced and notions of value.  They develop an understanding and appreciation of literature, and an ability to reflect critically on the aesthetic and intellectual aspects of texts.</w:t>
      </w:r>
    </w:p>
    <w:p w:rsidR="00B260B8" w:rsidRDefault="00B260B8" w:rsidP="00217FB5">
      <w:pPr>
        <w:rPr>
          <w:rFonts w:ascii="Times New Roman" w:hAnsi="Times New Roman"/>
          <w:sz w:val="22"/>
          <w:szCs w:val="22"/>
        </w:rPr>
      </w:pPr>
    </w:p>
    <w:p w:rsidR="00B260B8" w:rsidRPr="0047046F" w:rsidRDefault="00B260B8" w:rsidP="00217FB5">
      <w:pPr>
        <w:rPr>
          <w:rFonts w:ascii="Times New Roman" w:hAnsi="Times New Roman"/>
          <w:sz w:val="22"/>
          <w:szCs w:val="22"/>
        </w:rPr>
      </w:pPr>
      <w:r>
        <w:rPr>
          <w:rFonts w:ascii="Times New Roman" w:hAnsi="Times New Roman"/>
          <w:sz w:val="22"/>
          <w:szCs w:val="22"/>
        </w:rPr>
        <w:t>The study of Literature enables students to consider the power and complexity of language, the ways literary features and techniques contribute to meaning and the significance of form and structure.</w:t>
      </w:r>
    </w:p>
    <w:p w:rsidR="00217FB5" w:rsidRPr="0047046F" w:rsidRDefault="00217FB5" w:rsidP="00217FB5">
      <w:pPr>
        <w:rPr>
          <w:rFonts w:ascii="Times New Roman" w:hAnsi="Times New Roman"/>
          <w:sz w:val="22"/>
          <w:szCs w:val="22"/>
        </w:rPr>
      </w:pPr>
    </w:p>
    <w:p w:rsidR="00217FB5" w:rsidRPr="0047046F" w:rsidRDefault="00217FB5" w:rsidP="00217FB5">
      <w:pPr>
        <w:rPr>
          <w:rFonts w:ascii="Times New Roman" w:hAnsi="Times New Roman"/>
          <w:sz w:val="22"/>
          <w:szCs w:val="22"/>
        </w:rPr>
      </w:pPr>
      <w:r w:rsidRPr="0047046F">
        <w:rPr>
          <w:rFonts w:ascii="Times New Roman" w:hAnsi="Times New Roman"/>
          <w:sz w:val="22"/>
          <w:szCs w:val="22"/>
        </w:rPr>
        <w:t>Assessment Tasks for Literature include:</w:t>
      </w:r>
      <w:r w:rsidRPr="0047046F">
        <w:rPr>
          <w:sz w:val="22"/>
          <w:szCs w:val="22"/>
        </w:rPr>
        <w:t xml:space="preserve"> </w:t>
      </w:r>
    </w:p>
    <w:p w:rsidR="00217FB5" w:rsidRPr="0047046F" w:rsidRDefault="00217FB5" w:rsidP="00217FB5">
      <w:pPr>
        <w:numPr>
          <w:ilvl w:val="0"/>
          <w:numId w:val="1"/>
        </w:numPr>
        <w:rPr>
          <w:rFonts w:ascii="Times New Roman" w:hAnsi="Times New Roman"/>
          <w:sz w:val="22"/>
          <w:szCs w:val="22"/>
        </w:rPr>
      </w:pPr>
      <w:r w:rsidRPr="0047046F">
        <w:rPr>
          <w:noProof/>
          <w:snapToGrid/>
          <w:sz w:val="22"/>
          <w:szCs w:val="22"/>
          <w:lang w:val="en-AU" w:eastAsia="en-AU"/>
        </w:rPr>
        <w:drawing>
          <wp:anchor distT="0" distB="0" distL="114300" distR="114300" simplePos="0" relativeHeight="251659264" behindDoc="1" locked="0" layoutInCell="1" allowOverlap="1" wp14:anchorId="55220FC4" wp14:editId="16C3A8C0">
            <wp:simplePos x="0" y="0"/>
            <wp:positionH relativeFrom="column">
              <wp:posOffset>5019675</wp:posOffset>
            </wp:positionH>
            <wp:positionV relativeFrom="paragraph">
              <wp:posOffset>18415</wp:posOffset>
            </wp:positionV>
            <wp:extent cx="771525" cy="1151255"/>
            <wp:effectExtent l="38100" t="114300" r="123825" b="29845"/>
            <wp:wrapTight wrapText="bothSides">
              <wp:wrapPolygon edited="0">
                <wp:start x="0" y="-2145"/>
                <wp:lineTo x="-1067" y="-2145"/>
                <wp:lineTo x="-1067" y="21803"/>
                <wp:lineTo x="23467" y="21803"/>
                <wp:lineTo x="23467" y="20730"/>
                <wp:lineTo x="24533" y="15369"/>
                <wp:lineTo x="24533" y="-2145"/>
                <wp:lineTo x="0" y="-2145"/>
              </wp:wrapPolygon>
            </wp:wrapTight>
            <wp:docPr id="1" name="Picture 1" descr="Stock Photography: Feather Pen Resting on a Blank Open 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 Photography: Feather Pen Resting on a Blank Open Book">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1525" cy="1151255"/>
                    </a:xfrm>
                    <a:prstGeom prst="rect">
                      <a:avLst/>
                    </a:prstGeom>
                    <a:noFill/>
                    <a:ln w="38100">
                      <a:solidFill>
                        <a:srgbClr val="000000"/>
                      </a:solidFill>
                      <a:miter lim="800000"/>
                      <a:headEnd/>
                      <a:tailEnd/>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Pr="0047046F">
        <w:rPr>
          <w:rFonts w:ascii="Times New Roman" w:hAnsi="Times New Roman"/>
          <w:sz w:val="22"/>
          <w:szCs w:val="22"/>
        </w:rPr>
        <w:t>journal entries;</w:t>
      </w:r>
    </w:p>
    <w:p w:rsidR="00217FB5" w:rsidRPr="0047046F" w:rsidRDefault="00217FB5" w:rsidP="00217FB5">
      <w:pPr>
        <w:numPr>
          <w:ilvl w:val="0"/>
          <w:numId w:val="1"/>
        </w:numPr>
        <w:rPr>
          <w:rFonts w:ascii="Times New Roman" w:hAnsi="Times New Roman"/>
          <w:sz w:val="22"/>
          <w:szCs w:val="22"/>
        </w:rPr>
      </w:pPr>
      <w:r w:rsidRPr="0047046F">
        <w:rPr>
          <w:rFonts w:ascii="Times New Roman" w:hAnsi="Times New Roman"/>
          <w:sz w:val="22"/>
          <w:szCs w:val="22"/>
        </w:rPr>
        <w:t>role plays;</w:t>
      </w:r>
      <w:r w:rsidRPr="0047046F">
        <w:rPr>
          <w:rFonts w:ascii="Times-Roman" w:hAnsi="Times-Roman" w:cs="Times-Roman"/>
          <w:snapToGrid/>
          <w:sz w:val="22"/>
          <w:szCs w:val="22"/>
          <w:lang w:val="en-AU" w:eastAsia="en-AU"/>
        </w:rPr>
        <w:t xml:space="preserve"> </w:t>
      </w:r>
    </w:p>
    <w:p w:rsidR="00217FB5" w:rsidRPr="0047046F" w:rsidRDefault="00217FB5" w:rsidP="00217FB5">
      <w:pPr>
        <w:numPr>
          <w:ilvl w:val="0"/>
          <w:numId w:val="1"/>
        </w:numPr>
        <w:rPr>
          <w:rFonts w:ascii="Times New Roman" w:hAnsi="Times New Roman"/>
          <w:sz w:val="22"/>
          <w:szCs w:val="22"/>
        </w:rPr>
      </w:pPr>
      <w:r w:rsidRPr="0047046F">
        <w:rPr>
          <w:rFonts w:ascii="Times-Roman" w:hAnsi="Times-Roman" w:cs="Times-Roman"/>
          <w:snapToGrid/>
          <w:sz w:val="22"/>
          <w:szCs w:val="22"/>
          <w:lang w:val="en-AU" w:eastAsia="en-AU"/>
        </w:rPr>
        <w:t>close analysis of selected passages;</w:t>
      </w:r>
    </w:p>
    <w:p w:rsidR="00217FB5" w:rsidRPr="0047046F" w:rsidRDefault="00217FB5" w:rsidP="00217FB5">
      <w:pPr>
        <w:numPr>
          <w:ilvl w:val="0"/>
          <w:numId w:val="1"/>
        </w:numPr>
        <w:rPr>
          <w:rFonts w:ascii="Times New Roman" w:hAnsi="Times New Roman"/>
          <w:sz w:val="22"/>
          <w:szCs w:val="22"/>
        </w:rPr>
      </w:pPr>
      <w:r w:rsidRPr="0047046F">
        <w:rPr>
          <w:rFonts w:ascii="Times New Roman" w:hAnsi="Times New Roman"/>
          <w:sz w:val="22"/>
          <w:szCs w:val="22"/>
        </w:rPr>
        <w:t>creative responses, such as short stories and poems;</w:t>
      </w:r>
    </w:p>
    <w:p w:rsidR="00217FB5" w:rsidRPr="0047046F" w:rsidRDefault="00217FB5" w:rsidP="00217FB5">
      <w:pPr>
        <w:numPr>
          <w:ilvl w:val="0"/>
          <w:numId w:val="1"/>
        </w:numPr>
        <w:rPr>
          <w:rFonts w:ascii="Times New Roman" w:hAnsi="Times New Roman"/>
          <w:sz w:val="22"/>
          <w:szCs w:val="22"/>
        </w:rPr>
      </w:pPr>
      <w:r w:rsidRPr="0047046F">
        <w:rPr>
          <w:rFonts w:ascii="Times New Roman" w:hAnsi="Times New Roman"/>
          <w:sz w:val="22"/>
          <w:szCs w:val="22"/>
        </w:rPr>
        <w:t>essays</w:t>
      </w:r>
      <w:r w:rsidRPr="0047046F">
        <w:rPr>
          <w:rFonts w:ascii="Times-Roman" w:hAnsi="Times-Roman" w:cs="Times-Roman"/>
          <w:snapToGrid/>
          <w:sz w:val="22"/>
          <w:szCs w:val="22"/>
          <w:lang w:val="en-AU" w:eastAsia="en-AU"/>
        </w:rPr>
        <w:t>(comparative, interpretive, analytical or discursive);</w:t>
      </w:r>
    </w:p>
    <w:p w:rsidR="00217FB5" w:rsidRPr="0047046F" w:rsidRDefault="00217FB5" w:rsidP="00217FB5">
      <w:pPr>
        <w:numPr>
          <w:ilvl w:val="0"/>
          <w:numId w:val="1"/>
        </w:numPr>
        <w:rPr>
          <w:rFonts w:ascii="Times New Roman" w:hAnsi="Times New Roman"/>
          <w:sz w:val="22"/>
          <w:szCs w:val="22"/>
        </w:rPr>
      </w:pPr>
      <w:r w:rsidRPr="0047046F">
        <w:rPr>
          <w:rFonts w:ascii="Times New Roman" w:hAnsi="Times New Roman"/>
          <w:sz w:val="22"/>
          <w:szCs w:val="22"/>
        </w:rPr>
        <w:t>debates;</w:t>
      </w:r>
    </w:p>
    <w:p w:rsidR="00217FB5" w:rsidRPr="0047046F" w:rsidRDefault="00217FB5" w:rsidP="00217FB5">
      <w:pPr>
        <w:numPr>
          <w:ilvl w:val="0"/>
          <w:numId w:val="1"/>
        </w:numPr>
        <w:rPr>
          <w:rFonts w:ascii="Times New Roman" w:hAnsi="Times New Roman"/>
          <w:sz w:val="22"/>
          <w:szCs w:val="22"/>
        </w:rPr>
      </w:pPr>
      <w:r w:rsidRPr="0047046F">
        <w:rPr>
          <w:rFonts w:ascii="Times New Roman" w:hAnsi="Times New Roman"/>
          <w:sz w:val="22"/>
          <w:szCs w:val="22"/>
        </w:rPr>
        <w:t>visual representations (diagrams, concept maps, character webs, charts);</w:t>
      </w:r>
      <w:r w:rsidRPr="0047046F">
        <w:rPr>
          <w:rFonts w:ascii="Times-Roman" w:hAnsi="Times-Roman" w:cs="Times-Roman"/>
          <w:snapToGrid/>
          <w:sz w:val="22"/>
          <w:szCs w:val="22"/>
          <w:lang w:val="en-AU" w:eastAsia="en-AU"/>
        </w:rPr>
        <w:t xml:space="preserve"> </w:t>
      </w:r>
    </w:p>
    <w:p w:rsidR="00217FB5" w:rsidRPr="0047046F" w:rsidRDefault="00217FB5" w:rsidP="00217FB5">
      <w:pPr>
        <w:numPr>
          <w:ilvl w:val="0"/>
          <w:numId w:val="1"/>
        </w:numPr>
        <w:rPr>
          <w:rFonts w:ascii="Times New Roman" w:hAnsi="Times New Roman"/>
          <w:sz w:val="22"/>
          <w:szCs w:val="22"/>
        </w:rPr>
      </w:pPr>
      <w:r w:rsidRPr="0047046F">
        <w:rPr>
          <w:rFonts w:ascii="Times-Roman" w:hAnsi="Times-Roman" w:cs="Times-Roman"/>
          <w:snapToGrid/>
          <w:sz w:val="22"/>
          <w:szCs w:val="22"/>
          <w:lang w:val="en-AU" w:eastAsia="en-AU"/>
        </w:rPr>
        <w:t>multimedia presentation;</w:t>
      </w:r>
    </w:p>
    <w:p w:rsidR="00217FB5" w:rsidRPr="0047046F" w:rsidRDefault="00217FB5" w:rsidP="00217FB5">
      <w:pPr>
        <w:numPr>
          <w:ilvl w:val="0"/>
          <w:numId w:val="1"/>
        </w:numPr>
        <w:rPr>
          <w:rFonts w:ascii="Times New Roman" w:hAnsi="Times New Roman"/>
          <w:sz w:val="22"/>
          <w:szCs w:val="22"/>
        </w:rPr>
      </w:pPr>
      <w:r w:rsidRPr="0047046F">
        <w:rPr>
          <w:rFonts w:ascii="Times-Roman" w:hAnsi="Times-Roman" w:cs="Times-Roman"/>
          <w:snapToGrid/>
          <w:sz w:val="22"/>
          <w:szCs w:val="22"/>
          <w:lang w:val="en-AU" w:eastAsia="en-AU"/>
        </w:rPr>
        <w:t xml:space="preserve">participation in an online discussion; </w:t>
      </w:r>
    </w:p>
    <w:p w:rsidR="00217FB5" w:rsidRPr="0047046F" w:rsidRDefault="00217FB5" w:rsidP="00217FB5">
      <w:pPr>
        <w:numPr>
          <w:ilvl w:val="0"/>
          <w:numId w:val="1"/>
        </w:numPr>
        <w:rPr>
          <w:rFonts w:ascii="Times New Roman" w:hAnsi="Times New Roman"/>
          <w:sz w:val="22"/>
          <w:szCs w:val="22"/>
        </w:rPr>
      </w:pPr>
      <w:r w:rsidRPr="0047046F">
        <w:rPr>
          <w:rFonts w:ascii="Times-Roman" w:hAnsi="Times-Roman" w:cs="Times-Roman"/>
          <w:snapToGrid/>
          <w:sz w:val="22"/>
          <w:szCs w:val="22"/>
          <w:lang w:val="en-AU" w:eastAsia="en-AU"/>
        </w:rPr>
        <w:t>performance and commentary;</w:t>
      </w:r>
    </w:p>
    <w:p w:rsidR="00217FB5" w:rsidRPr="0047046F" w:rsidRDefault="00217FB5" w:rsidP="00217FB5">
      <w:pPr>
        <w:numPr>
          <w:ilvl w:val="0"/>
          <w:numId w:val="1"/>
        </w:numPr>
        <w:rPr>
          <w:rFonts w:ascii="Times New Roman" w:hAnsi="Times New Roman"/>
          <w:sz w:val="22"/>
          <w:szCs w:val="22"/>
        </w:rPr>
      </w:pPr>
      <w:r w:rsidRPr="0047046F">
        <w:rPr>
          <w:rFonts w:ascii="Times-Roman" w:hAnsi="Times-Roman" w:cs="Times-Roman"/>
          <w:snapToGrid/>
          <w:sz w:val="22"/>
          <w:szCs w:val="22"/>
          <w:lang w:val="en-AU" w:eastAsia="en-AU"/>
        </w:rPr>
        <w:t>oral or written review;</w:t>
      </w:r>
      <w:r w:rsidRPr="0047046F">
        <w:rPr>
          <w:rFonts w:ascii="Times New Roman" w:hAnsi="Times New Roman"/>
          <w:sz w:val="22"/>
          <w:szCs w:val="22"/>
        </w:rPr>
        <w:t xml:space="preserve"> </w:t>
      </w:r>
    </w:p>
    <w:p w:rsidR="00217FB5" w:rsidRPr="0047046F" w:rsidRDefault="00217FB5" w:rsidP="00217FB5">
      <w:pPr>
        <w:numPr>
          <w:ilvl w:val="0"/>
          <w:numId w:val="1"/>
        </w:numPr>
        <w:rPr>
          <w:rFonts w:ascii="Times New Roman" w:hAnsi="Times New Roman"/>
          <w:sz w:val="22"/>
          <w:szCs w:val="22"/>
        </w:rPr>
      </w:pPr>
      <w:proofErr w:type="gramStart"/>
      <w:r w:rsidRPr="0047046F">
        <w:rPr>
          <w:rFonts w:ascii="Times New Roman" w:hAnsi="Times New Roman"/>
          <w:sz w:val="22"/>
          <w:szCs w:val="22"/>
        </w:rPr>
        <w:t>podcasts</w:t>
      </w:r>
      <w:proofErr w:type="gramEnd"/>
      <w:r w:rsidRPr="0047046F">
        <w:rPr>
          <w:rFonts w:ascii="Times New Roman" w:hAnsi="Times New Roman"/>
          <w:sz w:val="22"/>
          <w:szCs w:val="22"/>
        </w:rPr>
        <w:t>.</w:t>
      </w:r>
    </w:p>
    <w:p w:rsidR="00217FB5" w:rsidRPr="0047046F" w:rsidRDefault="00217FB5" w:rsidP="00217FB5">
      <w:pPr>
        <w:rPr>
          <w:rFonts w:ascii="Times New Roman" w:hAnsi="Times New Roman"/>
          <w:sz w:val="22"/>
          <w:szCs w:val="22"/>
        </w:rPr>
      </w:pPr>
    </w:p>
    <w:p w:rsidR="00217FB5" w:rsidRDefault="005D304B" w:rsidP="005D304B">
      <w:pPr>
        <w:rPr>
          <w:rFonts w:ascii="Times New Roman" w:hAnsi="Times New Roman"/>
          <w:sz w:val="22"/>
          <w:szCs w:val="22"/>
        </w:rPr>
      </w:pPr>
      <w:r w:rsidRPr="00DB36C9">
        <w:rPr>
          <w:rFonts w:ascii="Times New Roman" w:hAnsi="Times New Roman"/>
          <w:b/>
          <w:sz w:val="22"/>
          <w:szCs w:val="22"/>
        </w:rPr>
        <w:t>Unit 1:</w:t>
      </w:r>
      <w:r>
        <w:rPr>
          <w:rFonts w:ascii="Times New Roman" w:hAnsi="Times New Roman"/>
          <w:sz w:val="22"/>
          <w:szCs w:val="22"/>
        </w:rPr>
        <w:t xml:space="preserve">  Approaches to literature</w:t>
      </w:r>
    </w:p>
    <w:p w:rsidR="005D304B" w:rsidRDefault="005D304B" w:rsidP="005D304B">
      <w:pPr>
        <w:rPr>
          <w:rFonts w:ascii="Times New Roman" w:hAnsi="Times New Roman"/>
          <w:sz w:val="22"/>
          <w:szCs w:val="22"/>
        </w:rPr>
      </w:pPr>
      <w:r>
        <w:rPr>
          <w:rFonts w:ascii="Times New Roman" w:hAnsi="Times New Roman"/>
          <w:sz w:val="22"/>
          <w:szCs w:val="22"/>
        </w:rPr>
        <w:t>In this unit students focus on the ways the interaction between text and reader creates meaning.  Students’ analyses of the features of conventions of texts help them develop responses to a range of literary forms and styles.  They develop an awareness of how the views and values that readers hold may influence the reading of a text.</w:t>
      </w:r>
    </w:p>
    <w:p w:rsidR="00DB36C9" w:rsidRDefault="00DB36C9" w:rsidP="005D304B">
      <w:pPr>
        <w:rPr>
          <w:rFonts w:ascii="Times New Roman" w:hAnsi="Times New Roman"/>
          <w:b/>
          <w:sz w:val="22"/>
          <w:szCs w:val="22"/>
        </w:rPr>
      </w:pPr>
    </w:p>
    <w:p w:rsidR="00DB36C9" w:rsidRDefault="00DB36C9" w:rsidP="005D304B">
      <w:pPr>
        <w:rPr>
          <w:rFonts w:ascii="Times New Roman" w:hAnsi="Times New Roman"/>
          <w:sz w:val="22"/>
          <w:szCs w:val="22"/>
        </w:rPr>
      </w:pPr>
      <w:r w:rsidRPr="00DB36C9">
        <w:rPr>
          <w:rFonts w:ascii="Times New Roman" w:hAnsi="Times New Roman"/>
          <w:b/>
          <w:sz w:val="22"/>
          <w:szCs w:val="22"/>
        </w:rPr>
        <w:t>Unit 2:</w:t>
      </w:r>
      <w:r>
        <w:rPr>
          <w:rFonts w:ascii="Times New Roman" w:hAnsi="Times New Roman"/>
          <w:sz w:val="22"/>
          <w:szCs w:val="22"/>
        </w:rPr>
        <w:t xml:space="preserve">  Context and connections</w:t>
      </w:r>
    </w:p>
    <w:p w:rsidR="00DB36C9" w:rsidRPr="005D304B" w:rsidRDefault="00DB36C9" w:rsidP="005D304B">
      <w:pPr>
        <w:rPr>
          <w:rFonts w:ascii="Times New Roman" w:hAnsi="Times New Roman"/>
          <w:sz w:val="22"/>
          <w:szCs w:val="22"/>
        </w:rPr>
      </w:pPr>
      <w:r>
        <w:rPr>
          <w:rFonts w:ascii="Times New Roman" w:hAnsi="Times New Roman"/>
          <w:sz w:val="22"/>
          <w:szCs w:val="22"/>
        </w:rPr>
        <w:t xml:space="preserve">In this unit students explore the ways literary texts connect with each other and with the world.  They deepen their examination of the ways their own culture and the cultures represented in texts can influence their interpretations and shape different meanings.  Students consider the relationships between authors, audiences and contexts and </w:t>
      </w:r>
      <w:proofErr w:type="spellStart"/>
      <w:r>
        <w:rPr>
          <w:rFonts w:ascii="Times New Roman" w:hAnsi="Times New Roman"/>
          <w:sz w:val="22"/>
          <w:szCs w:val="22"/>
        </w:rPr>
        <w:t>analyse</w:t>
      </w:r>
      <w:proofErr w:type="spellEnd"/>
      <w:r>
        <w:rPr>
          <w:rFonts w:ascii="Times New Roman" w:hAnsi="Times New Roman"/>
          <w:sz w:val="22"/>
          <w:szCs w:val="22"/>
        </w:rPr>
        <w:t xml:space="preserve"> the similarities and differences across texts and establish connections between them.  They engage in close reading of texts and create analytical responses that are evidence-based.</w:t>
      </w:r>
    </w:p>
    <w:p w:rsidR="00DB36C9" w:rsidRDefault="00DB36C9" w:rsidP="00217FB5">
      <w:pPr>
        <w:rPr>
          <w:rFonts w:ascii="Times New Roman" w:hAnsi="Times New Roman"/>
          <w:b/>
          <w:sz w:val="22"/>
          <w:szCs w:val="22"/>
        </w:rPr>
      </w:pPr>
    </w:p>
    <w:p w:rsidR="00217FB5" w:rsidRPr="0047046F" w:rsidRDefault="00217FB5" w:rsidP="00217FB5">
      <w:pPr>
        <w:rPr>
          <w:rFonts w:ascii="Times New Roman" w:hAnsi="Times New Roman"/>
          <w:sz w:val="22"/>
          <w:szCs w:val="22"/>
        </w:rPr>
      </w:pPr>
      <w:r w:rsidRPr="0047046F">
        <w:rPr>
          <w:rFonts w:ascii="Times New Roman" w:hAnsi="Times New Roman"/>
          <w:b/>
          <w:sz w:val="22"/>
          <w:szCs w:val="22"/>
        </w:rPr>
        <w:t>Unit 3:</w:t>
      </w:r>
      <w:r w:rsidRPr="0047046F">
        <w:rPr>
          <w:rFonts w:ascii="Times New Roman" w:hAnsi="Times New Roman"/>
          <w:sz w:val="22"/>
          <w:szCs w:val="22"/>
        </w:rPr>
        <w:t xml:space="preserve"> In this unit students focus on how meaning changes when the form of a text changes, for example, a novel and a film. Students also examine one text in order to discover what views and values are expressed and what beliefs are endorsed or challenged, and </w:t>
      </w:r>
      <w:proofErr w:type="spellStart"/>
      <w:r w:rsidRPr="0047046F">
        <w:rPr>
          <w:rFonts w:ascii="Times New Roman" w:hAnsi="Times New Roman"/>
          <w:sz w:val="22"/>
          <w:szCs w:val="22"/>
        </w:rPr>
        <w:t>analyse</w:t>
      </w:r>
      <w:proofErr w:type="spellEnd"/>
      <w:r w:rsidRPr="0047046F">
        <w:rPr>
          <w:rFonts w:ascii="Times New Roman" w:hAnsi="Times New Roman"/>
          <w:sz w:val="22"/>
          <w:szCs w:val="22"/>
        </w:rPr>
        <w:t xml:space="preserve"> the viewpoints of others on a particular text such as those of a film reviewer, making a comparison to their own views.</w:t>
      </w:r>
    </w:p>
    <w:p w:rsidR="00217FB5" w:rsidRPr="0047046F" w:rsidRDefault="00217FB5" w:rsidP="00217FB5">
      <w:pPr>
        <w:rPr>
          <w:rFonts w:ascii="Times New Roman" w:hAnsi="Times New Roman"/>
          <w:i/>
          <w:sz w:val="22"/>
          <w:szCs w:val="22"/>
        </w:rPr>
      </w:pPr>
      <w:r w:rsidRPr="0047046F">
        <w:rPr>
          <w:rFonts w:ascii="Times New Roman" w:hAnsi="Times New Roman"/>
          <w:b/>
          <w:sz w:val="22"/>
          <w:szCs w:val="22"/>
        </w:rPr>
        <w:t>Areas of Study:</w:t>
      </w:r>
      <w:r w:rsidRPr="0047046F">
        <w:rPr>
          <w:rFonts w:ascii="Times New Roman" w:hAnsi="Times New Roman"/>
          <w:b/>
          <w:sz w:val="22"/>
          <w:szCs w:val="22"/>
        </w:rPr>
        <w:tab/>
      </w:r>
      <w:r w:rsidRPr="0047046F">
        <w:rPr>
          <w:rFonts w:ascii="Times New Roman" w:hAnsi="Times New Roman"/>
          <w:i/>
          <w:sz w:val="22"/>
          <w:szCs w:val="22"/>
        </w:rPr>
        <w:t>Adaptations &amp; Transformations</w:t>
      </w:r>
    </w:p>
    <w:p w:rsidR="00217FB5" w:rsidRPr="0047046F" w:rsidRDefault="00217FB5" w:rsidP="00217FB5">
      <w:pPr>
        <w:ind w:left="1440" w:firstLine="720"/>
        <w:rPr>
          <w:rFonts w:ascii="Times New Roman" w:hAnsi="Times New Roman"/>
          <w:i/>
          <w:sz w:val="22"/>
          <w:szCs w:val="22"/>
        </w:rPr>
      </w:pPr>
      <w:r w:rsidRPr="0047046F">
        <w:rPr>
          <w:rFonts w:ascii="Times New Roman" w:hAnsi="Times New Roman"/>
          <w:i/>
          <w:sz w:val="22"/>
          <w:szCs w:val="22"/>
        </w:rPr>
        <w:t>Views, values and contexts</w:t>
      </w:r>
    </w:p>
    <w:p w:rsidR="00217FB5" w:rsidRPr="0047046F" w:rsidRDefault="00217FB5" w:rsidP="00217FB5">
      <w:pPr>
        <w:ind w:left="1440" w:firstLine="720"/>
        <w:rPr>
          <w:rFonts w:ascii="Times New Roman" w:hAnsi="Times New Roman"/>
          <w:i/>
          <w:sz w:val="22"/>
          <w:szCs w:val="22"/>
        </w:rPr>
      </w:pPr>
      <w:r w:rsidRPr="0047046F">
        <w:rPr>
          <w:rFonts w:ascii="Times New Roman" w:hAnsi="Times New Roman"/>
          <w:i/>
          <w:sz w:val="22"/>
          <w:szCs w:val="22"/>
        </w:rPr>
        <w:t>Considering alternative viewpoints</w:t>
      </w:r>
    </w:p>
    <w:p w:rsidR="00217FB5" w:rsidRPr="0047046F" w:rsidRDefault="00217FB5" w:rsidP="00217FB5">
      <w:pPr>
        <w:tabs>
          <w:tab w:val="left" w:pos="1065"/>
        </w:tabs>
        <w:rPr>
          <w:rFonts w:ascii="Times New Roman" w:hAnsi="Times New Roman"/>
          <w:sz w:val="22"/>
          <w:szCs w:val="22"/>
        </w:rPr>
      </w:pPr>
      <w:r w:rsidRPr="0047046F">
        <w:rPr>
          <w:rFonts w:ascii="Times New Roman" w:hAnsi="Times New Roman"/>
          <w:sz w:val="22"/>
          <w:szCs w:val="22"/>
        </w:rPr>
        <w:tab/>
      </w:r>
    </w:p>
    <w:p w:rsidR="00217FB5" w:rsidRPr="0047046F" w:rsidRDefault="00217FB5" w:rsidP="00217FB5">
      <w:pPr>
        <w:rPr>
          <w:rFonts w:ascii="Times New Roman" w:hAnsi="Times New Roman"/>
          <w:sz w:val="22"/>
          <w:szCs w:val="22"/>
        </w:rPr>
      </w:pPr>
      <w:r w:rsidRPr="0047046F">
        <w:rPr>
          <w:rFonts w:ascii="Times New Roman" w:hAnsi="Times New Roman"/>
          <w:b/>
          <w:sz w:val="22"/>
          <w:szCs w:val="22"/>
        </w:rPr>
        <w:t xml:space="preserve">Unit 4: </w:t>
      </w:r>
      <w:r w:rsidRPr="0047046F">
        <w:rPr>
          <w:rFonts w:ascii="Times New Roman" w:hAnsi="Times New Roman"/>
          <w:sz w:val="22"/>
          <w:szCs w:val="22"/>
        </w:rPr>
        <w:t xml:space="preserve">Students will study one text closely and then produce a creative response that reflects that close study during Unit 4.  This involves understanding the style and form of the text and being able to adapt the tone and style of the original text to your own writing. Students also prepare for the end of year exam, which involves close analysis of a passage or passages from a text studied. </w:t>
      </w:r>
    </w:p>
    <w:p w:rsidR="00217FB5" w:rsidRPr="0047046F" w:rsidRDefault="00217FB5" w:rsidP="00217FB5">
      <w:pPr>
        <w:rPr>
          <w:rFonts w:ascii="Times New Roman" w:hAnsi="Times New Roman"/>
          <w:i/>
          <w:sz w:val="22"/>
          <w:szCs w:val="22"/>
        </w:rPr>
      </w:pPr>
      <w:r w:rsidRPr="0047046F">
        <w:rPr>
          <w:rFonts w:ascii="Times New Roman" w:hAnsi="Times New Roman"/>
          <w:b/>
          <w:sz w:val="22"/>
          <w:szCs w:val="22"/>
        </w:rPr>
        <w:t>Areas of Study:</w:t>
      </w:r>
      <w:r w:rsidRPr="0047046F">
        <w:rPr>
          <w:rFonts w:ascii="Times New Roman" w:hAnsi="Times New Roman"/>
          <w:b/>
          <w:sz w:val="22"/>
          <w:szCs w:val="22"/>
        </w:rPr>
        <w:tab/>
      </w:r>
      <w:r w:rsidRPr="0047046F">
        <w:rPr>
          <w:rFonts w:ascii="Times New Roman" w:hAnsi="Times New Roman"/>
          <w:i/>
          <w:sz w:val="22"/>
          <w:szCs w:val="22"/>
        </w:rPr>
        <w:t>Creative responses to texts</w:t>
      </w:r>
    </w:p>
    <w:p w:rsidR="00217FB5" w:rsidRPr="0047046F" w:rsidRDefault="00217FB5" w:rsidP="00217FB5">
      <w:pPr>
        <w:rPr>
          <w:rFonts w:ascii="Times New Roman" w:hAnsi="Times New Roman"/>
          <w:i/>
          <w:sz w:val="22"/>
          <w:szCs w:val="22"/>
        </w:rPr>
      </w:pPr>
      <w:r w:rsidRPr="0047046F">
        <w:rPr>
          <w:rFonts w:ascii="Times New Roman" w:hAnsi="Times New Roman"/>
          <w:i/>
          <w:sz w:val="22"/>
          <w:szCs w:val="22"/>
        </w:rPr>
        <w:tab/>
      </w:r>
      <w:r w:rsidRPr="0047046F">
        <w:rPr>
          <w:rFonts w:ascii="Times New Roman" w:hAnsi="Times New Roman"/>
          <w:i/>
          <w:sz w:val="22"/>
          <w:szCs w:val="22"/>
        </w:rPr>
        <w:tab/>
      </w:r>
      <w:r w:rsidRPr="0047046F">
        <w:rPr>
          <w:rFonts w:ascii="Times New Roman" w:hAnsi="Times New Roman"/>
          <w:i/>
          <w:sz w:val="22"/>
          <w:szCs w:val="22"/>
        </w:rPr>
        <w:tab/>
        <w:t>Close Analysis</w:t>
      </w:r>
      <w:bookmarkStart w:id="0" w:name="_GoBack"/>
      <w:bookmarkEnd w:id="0"/>
    </w:p>
    <w:p w:rsidR="00217FB5" w:rsidRPr="0047046F" w:rsidRDefault="00217FB5" w:rsidP="00217FB5">
      <w:pPr>
        <w:rPr>
          <w:rFonts w:ascii="Times New Roman" w:hAnsi="Times New Roman"/>
          <w:i/>
          <w:sz w:val="22"/>
          <w:szCs w:val="22"/>
        </w:rPr>
      </w:pPr>
    </w:p>
    <w:p w:rsidR="00217FB5" w:rsidRPr="0047046F" w:rsidRDefault="00217FB5" w:rsidP="00217FB5">
      <w:pPr>
        <w:rPr>
          <w:sz w:val="22"/>
          <w:szCs w:val="22"/>
        </w:rPr>
      </w:pPr>
    </w:p>
    <w:p w:rsidR="00C56AA8" w:rsidRPr="0047046F" w:rsidRDefault="00C56AA8" w:rsidP="00217FB5">
      <w:pPr>
        <w:rPr>
          <w:sz w:val="22"/>
          <w:szCs w:val="22"/>
        </w:rPr>
      </w:pPr>
    </w:p>
    <w:sectPr w:rsidR="00C56AA8" w:rsidRPr="00470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Condensed Bold">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C1677"/>
    <w:multiLevelType w:val="hybridMultilevel"/>
    <w:tmpl w:val="EFBA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B5"/>
    <w:rsid w:val="00217FB5"/>
    <w:rsid w:val="0047046F"/>
    <w:rsid w:val="005D304B"/>
    <w:rsid w:val="00895A06"/>
    <w:rsid w:val="00B260B8"/>
    <w:rsid w:val="00C56AA8"/>
    <w:rsid w:val="00D600F7"/>
    <w:rsid w:val="00D71BF5"/>
    <w:rsid w:val="00DB3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B5"/>
    <w:pPr>
      <w:widowControl w:val="0"/>
      <w:spacing w:after="0" w:line="240" w:lineRule="auto"/>
    </w:pPr>
    <w:rPr>
      <w:rFonts w:ascii="Gill Sans Condensed Bold" w:eastAsia="Times New Roman" w:hAnsi="Gill Sans Condensed Bold"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B5"/>
    <w:pPr>
      <w:widowControl w:val="0"/>
      <w:spacing w:after="0" w:line="240" w:lineRule="auto"/>
    </w:pPr>
    <w:rPr>
      <w:rFonts w:ascii="Gill Sans Condensed Bold" w:eastAsia="Times New Roman" w:hAnsi="Gill Sans Condensed Bold"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acclaimimages.com/_gallery/_TN/0269-0706-2212-5021_TN.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laimimages.com/_gallery/_pages/0269-0706-2212-502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2013-08-02T05:00:00Z</dcterms:created>
  <dcterms:modified xsi:type="dcterms:W3CDTF">2015-07-23T02:12:00Z</dcterms:modified>
</cp:coreProperties>
</file>